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856B" w14:textId="2BCB26F2" w:rsidR="002476DC" w:rsidRPr="008F76FF" w:rsidRDefault="002476DC">
      <w:pPr>
        <w:rPr>
          <w:b/>
          <w:bCs/>
          <w:u w:val="single"/>
        </w:rPr>
      </w:pPr>
      <w:r w:rsidRPr="008F76FF">
        <w:rPr>
          <w:b/>
          <w:bCs/>
          <w:u w:val="single"/>
        </w:rPr>
        <w:t xml:space="preserve">Wootton Neighbourhood Plan Survey: </w:t>
      </w:r>
      <w:r w:rsidR="00795F0A">
        <w:rPr>
          <w:b/>
          <w:bCs/>
          <w:u w:val="single"/>
        </w:rPr>
        <w:t>overview of results</w:t>
      </w:r>
    </w:p>
    <w:p w14:paraId="0B3882CD" w14:textId="689783AB" w:rsidR="002476DC" w:rsidRPr="008F76FF" w:rsidRDefault="002476DC" w:rsidP="002476DC">
      <w:pPr>
        <w:pStyle w:val="ListParagraph"/>
        <w:numPr>
          <w:ilvl w:val="0"/>
          <w:numId w:val="1"/>
        </w:numPr>
        <w:rPr>
          <w:b/>
          <w:bCs/>
        </w:rPr>
      </w:pPr>
      <w:r w:rsidRPr="008F76FF">
        <w:rPr>
          <w:b/>
          <w:bCs/>
        </w:rPr>
        <w:t>How representative are the respondents?</w:t>
      </w:r>
    </w:p>
    <w:p w14:paraId="00DD5868" w14:textId="3BD5DB0B" w:rsidR="002476DC" w:rsidRDefault="002476DC" w:rsidP="008F76FF">
      <w:pPr>
        <w:jc w:val="both"/>
      </w:pPr>
      <w:r>
        <w:t xml:space="preserve">There were 602 residents in the two Census output areas which approximate to Wootton Parish in 2021. That’s equivalent to a 28% response rate, assuming no significant increase/decrease in number residents by 2025. But 103 of these were 15 or under, according to the Census. Since the survey omitted this age group, </w:t>
      </w:r>
      <w:r w:rsidRPr="0085739D">
        <w:rPr>
          <w:b/>
          <w:bCs/>
        </w:rPr>
        <w:t xml:space="preserve">the response rate is </w:t>
      </w:r>
      <w:proofErr w:type="gramStart"/>
      <w:r w:rsidRPr="0085739D">
        <w:rPr>
          <w:b/>
          <w:bCs/>
        </w:rPr>
        <w:t>actually equivalent</w:t>
      </w:r>
      <w:proofErr w:type="gramEnd"/>
      <w:r w:rsidRPr="0085739D">
        <w:rPr>
          <w:b/>
          <w:bCs/>
        </w:rPr>
        <w:t xml:space="preserve"> to 40%</w:t>
      </w:r>
      <w:r>
        <w:t xml:space="preserve"> - which is pretty good.</w:t>
      </w:r>
    </w:p>
    <w:p w14:paraId="597592D1" w14:textId="46397ADB" w:rsidR="002476DC" w:rsidRDefault="002476DC" w:rsidP="008F76FF">
      <w:pPr>
        <w:jc w:val="both"/>
      </w:pPr>
      <w:r>
        <w:t>Were most parts of the village represented? The survey captured postcode data. Postcodes generally include between 15-100 households, but we can map the data to give a broad indication of geographical distribution.</w:t>
      </w:r>
      <w:r w:rsidR="007111F7">
        <w:t xml:space="preserve"> (Markers show the post code area centroid, rather than any specific property.) </w:t>
      </w:r>
      <w:r w:rsidR="007111F7" w:rsidRPr="0085739D">
        <w:rPr>
          <w:b/>
          <w:bCs/>
        </w:rPr>
        <w:t>All parts of the parish were represented</w:t>
      </w:r>
      <w:r w:rsidR="007111F7">
        <w:t xml:space="preserve">. (Including </w:t>
      </w:r>
      <w:proofErr w:type="spellStart"/>
      <w:r w:rsidR="007111F7">
        <w:t>Hordley</w:t>
      </w:r>
      <w:proofErr w:type="spellEnd"/>
      <w:r w:rsidR="007111F7">
        <w:t>, which is off the map below.)</w:t>
      </w:r>
    </w:p>
    <w:p w14:paraId="60277534" w14:textId="35C8BFAA" w:rsidR="002476DC" w:rsidRDefault="002476DC" w:rsidP="002476DC">
      <w:r w:rsidRPr="002476DC">
        <w:rPr>
          <w:noProof/>
        </w:rPr>
        <w:drawing>
          <wp:inline distT="0" distB="0" distL="0" distR="0" wp14:anchorId="716DAB21" wp14:editId="4B37395E">
            <wp:extent cx="4203032" cy="3972531"/>
            <wp:effectExtent l="0" t="0" r="1270" b="3175"/>
            <wp:docPr id="880718196" name="Picture 1" descr="A map with red p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18196" name="Picture 1" descr="A map with red pins&#10;&#10;AI-generated content may be incorrect."/>
                    <pic:cNvPicPr/>
                  </pic:nvPicPr>
                  <pic:blipFill>
                    <a:blip r:embed="rId5"/>
                    <a:stretch>
                      <a:fillRect/>
                    </a:stretch>
                  </pic:blipFill>
                  <pic:spPr>
                    <a:xfrm>
                      <a:off x="0" y="0"/>
                      <a:ext cx="4225377" cy="3993650"/>
                    </a:xfrm>
                    <a:prstGeom prst="rect">
                      <a:avLst/>
                    </a:prstGeom>
                  </pic:spPr>
                </pic:pic>
              </a:graphicData>
            </a:graphic>
          </wp:inline>
        </w:drawing>
      </w:r>
    </w:p>
    <w:p w14:paraId="50B54CEA" w14:textId="7386B496" w:rsidR="00700CF6" w:rsidRDefault="00E035CD" w:rsidP="008F76FF">
      <w:pPr>
        <w:jc w:val="both"/>
      </w:pPr>
      <w:r>
        <w:t>It is also interesting to explore how representative the respondents are compared to</w:t>
      </w:r>
      <w:r w:rsidR="00DF6D0A">
        <w:t>, for example,</w:t>
      </w:r>
      <w:r>
        <w:t xml:space="preserve"> </w:t>
      </w:r>
      <w:r w:rsidR="009254A3">
        <w:t xml:space="preserve">what we know about </w:t>
      </w:r>
      <w:r w:rsidR="00DF6D0A">
        <w:t>the 2021 age distribution in Wootton</w:t>
      </w:r>
      <w:r w:rsidR="007D3150">
        <w:t xml:space="preserve"> from the Census</w:t>
      </w:r>
      <w:r w:rsidR="00700CF6">
        <w:t>.</w:t>
      </w:r>
      <w:r w:rsidR="00466432">
        <w:t xml:space="preserve"> The figure on the left, below, shows Wootton’s demographic makeup in 2021 using age groups </w:t>
      </w:r>
      <w:r w:rsidR="00A30880">
        <w:t>as close as possible to</w:t>
      </w:r>
      <w:r w:rsidR="00466432">
        <w:t xml:space="preserve"> </w:t>
      </w:r>
      <w:r w:rsidR="001E7D3A">
        <w:t xml:space="preserve">the survey. The figure on the right shows the Survey distribution. </w:t>
      </w:r>
      <w:r w:rsidR="00353D3F">
        <w:t xml:space="preserve">Even accounting for the </w:t>
      </w:r>
      <w:r w:rsidR="008F76FF">
        <w:t>five-year</w:t>
      </w:r>
      <w:r w:rsidR="00353D3F">
        <w:t xml:space="preserve"> difference in data, t</w:t>
      </w:r>
      <w:r w:rsidR="001E7D3A">
        <w:t xml:space="preserve">he survey would appear to </w:t>
      </w:r>
      <w:r w:rsidR="001E7D3A" w:rsidRPr="007D3150">
        <w:rPr>
          <w:b/>
          <w:bCs/>
        </w:rPr>
        <w:t>over-represent older age groups</w:t>
      </w:r>
      <w:r w:rsidR="007D3150">
        <w:t>.</w:t>
      </w:r>
      <w:r w:rsidR="0056278B">
        <w:t xml:space="preserve"> </w:t>
      </w:r>
    </w:p>
    <w:p w14:paraId="4934C68B" w14:textId="0E00D342" w:rsidR="002476DC" w:rsidRDefault="00676DFE" w:rsidP="002476DC">
      <w:r>
        <w:t xml:space="preserve"> </w:t>
      </w:r>
    </w:p>
    <w:p w14:paraId="1FAACDB8" w14:textId="46DAC185" w:rsidR="002476DC" w:rsidRDefault="006E249F" w:rsidP="002476DC">
      <w:r>
        <w:rPr>
          <w:noProof/>
        </w:rPr>
        <w:lastRenderedPageBreak/>
        <w:drawing>
          <wp:anchor distT="0" distB="0" distL="114300" distR="114300" simplePos="0" relativeHeight="251658240" behindDoc="0" locked="0" layoutInCell="1" allowOverlap="1" wp14:anchorId="1C57D5AB" wp14:editId="5D93C488">
            <wp:simplePos x="0" y="0"/>
            <wp:positionH relativeFrom="column">
              <wp:posOffset>2961874</wp:posOffset>
            </wp:positionH>
            <wp:positionV relativeFrom="paragraph">
              <wp:posOffset>316865</wp:posOffset>
            </wp:positionV>
            <wp:extent cx="2620211" cy="1709843"/>
            <wp:effectExtent l="0" t="0" r="0" b="5080"/>
            <wp:wrapNone/>
            <wp:docPr id="1379662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62014" name=""/>
                    <pic:cNvPicPr/>
                  </pic:nvPicPr>
                  <pic:blipFill>
                    <a:blip r:embed="rId6"/>
                    <a:stretch>
                      <a:fillRect/>
                    </a:stretch>
                  </pic:blipFill>
                  <pic:spPr>
                    <a:xfrm>
                      <a:off x="0" y="0"/>
                      <a:ext cx="2620211" cy="1709843"/>
                    </a:xfrm>
                    <a:prstGeom prst="rect">
                      <a:avLst/>
                    </a:prstGeom>
                  </pic:spPr>
                </pic:pic>
              </a:graphicData>
            </a:graphic>
            <wp14:sizeRelH relativeFrom="page">
              <wp14:pctWidth>0</wp14:pctWidth>
            </wp14:sizeRelH>
            <wp14:sizeRelV relativeFrom="page">
              <wp14:pctHeight>0</wp14:pctHeight>
            </wp14:sizeRelV>
          </wp:anchor>
        </w:drawing>
      </w:r>
    </w:p>
    <w:p w14:paraId="039FB020" w14:textId="398538A4" w:rsidR="002476DC" w:rsidRDefault="00D7736B" w:rsidP="002476DC">
      <w:r>
        <w:rPr>
          <w:noProof/>
        </w:rPr>
        <w:drawing>
          <wp:inline distT="0" distB="0" distL="0" distR="0" wp14:anchorId="1960EB5F" wp14:editId="57D61DD3">
            <wp:extent cx="2657642" cy="1734269"/>
            <wp:effectExtent l="0" t="0" r="0" b="5715"/>
            <wp:docPr id="319519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19363" name=""/>
                    <pic:cNvPicPr/>
                  </pic:nvPicPr>
                  <pic:blipFill>
                    <a:blip r:embed="rId7"/>
                    <a:stretch>
                      <a:fillRect/>
                    </a:stretch>
                  </pic:blipFill>
                  <pic:spPr>
                    <a:xfrm>
                      <a:off x="0" y="0"/>
                      <a:ext cx="2703325" cy="1764080"/>
                    </a:xfrm>
                    <a:prstGeom prst="rect">
                      <a:avLst/>
                    </a:prstGeom>
                  </pic:spPr>
                </pic:pic>
              </a:graphicData>
            </a:graphic>
          </wp:inline>
        </w:drawing>
      </w:r>
    </w:p>
    <w:p w14:paraId="08B7B797" w14:textId="368283C3" w:rsidR="00C85195" w:rsidRPr="00B9124F" w:rsidRDefault="006E249F" w:rsidP="00C85195">
      <w:pPr>
        <w:pStyle w:val="ListParagraph"/>
        <w:numPr>
          <w:ilvl w:val="0"/>
          <w:numId w:val="1"/>
        </w:numPr>
      </w:pPr>
      <w:r w:rsidRPr="006E249F">
        <w:rPr>
          <w:b/>
          <w:bCs/>
        </w:rPr>
        <w:t>Main findings</w:t>
      </w:r>
      <w:r w:rsidR="00C41568">
        <w:rPr>
          <w:b/>
          <w:bCs/>
        </w:rPr>
        <w:t xml:space="preserve"> (selected themes only)</w:t>
      </w:r>
    </w:p>
    <w:p w14:paraId="7E19CD4A" w14:textId="77777777" w:rsidR="00B9124F" w:rsidRPr="00C85195" w:rsidRDefault="00B9124F" w:rsidP="00B9124F">
      <w:pPr>
        <w:pStyle w:val="ListParagraph"/>
      </w:pPr>
    </w:p>
    <w:p w14:paraId="0B0ACD76" w14:textId="74FB30E3" w:rsidR="00C85195" w:rsidRPr="008F76FF" w:rsidRDefault="00C85195" w:rsidP="008F76FF">
      <w:pPr>
        <w:pStyle w:val="ListParagraph"/>
        <w:numPr>
          <w:ilvl w:val="0"/>
          <w:numId w:val="9"/>
        </w:numPr>
        <w:spacing w:after="0" w:line="240" w:lineRule="auto"/>
      </w:pPr>
      <w:r w:rsidRPr="00B9124F">
        <w:rPr>
          <w:b/>
          <w:bCs/>
        </w:rPr>
        <w:t>Demographics</w:t>
      </w:r>
      <w:r w:rsidR="00BA05CF">
        <w:rPr>
          <w:b/>
          <w:bCs/>
        </w:rPr>
        <w:t xml:space="preserve"> of </w:t>
      </w:r>
      <w:r w:rsidR="00631427">
        <w:rPr>
          <w:b/>
          <w:bCs/>
        </w:rPr>
        <w:t xml:space="preserve">survey </w:t>
      </w:r>
      <w:r w:rsidR="00BA05CF">
        <w:rPr>
          <w:b/>
          <w:bCs/>
        </w:rPr>
        <w:t>respondents</w:t>
      </w:r>
    </w:p>
    <w:p w14:paraId="671DCA45" w14:textId="77777777" w:rsidR="008F76FF" w:rsidRPr="00C85195" w:rsidRDefault="008F76FF" w:rsidP="008F76FF">
      <w:pPr>
        <w:pStyle w:val="ListParagraph"/>
        <w:spacing w:after="0" w:line="240" w:lineRule="auto"/>
        <w:ind w:left="360"/>
      </w:pPr>
    </w:p>
    <w:p w14:paraId="3878E4C9" w14:textId="0F92EBDB" w:rsidR="00C85195" w:rsidRPr="00C85195" w:rsidRDefault="00C85195" w:rsidP="008F76FF">
      <w:pPr>
        <w:numPr>
          <w:ilvl w:val="0"/>
          <w:numId w:val="4"/>
        </w:numPr>
        <w:spacing w:after="0" w:line="240" w:lineRule="auto"/>
        <w:ind w:left="714" w:hanging="357"/>
      </w:pPr>
      <w:r w:rsidRPr="00C85195">
        <w:t xml:space="preserve">Majority aged </w:t>
      </w:r>
      <w:r w:rsidRPr="00C85195">
        <w:rPr>
          <w:b/>
          <w:bCs/>
        </w:rPr>
        <w:t>46–80</w:t>
      </w:r>
      <w:r w:rsidRPr="00C85195">
        <w:t xml:space="preserve">, with few under </w:t>
      </w:r>
      <w:r w:rsidR="00631427">
        <w:t>4</w:t>
      </w:r>
      <w:r w:rsidRPr="00C85195">
        <w:t>5.</w:t>
      </w:r>
    </w:p>
    <w:p w14:paraId="10EDC059" w14:textId="77777777" w:rsidR="00C85195" w:rsidRPr="00C85195" w:rsidRDefault="00C85195" w:rsidP="008F76FF">
      <w:pPr>
        <w:numPr>
          <w:ilvl w:val="0"/>
          <w:numId w:val="4"/>
        </w:numPr>
        <w:spacing w:after="0" w:line="240" w:lineRule="auto"/>
        <w:ind w:left="714" w:hanging="357"/>
      </w:pPr>
      <w:r w:rsidRPr="00C85195">
        <w:t xml:space="preserve">Most are </w:t>
      </w:r>
      <w:r w:rsidRPr="00C85195">
        <w:rPr>
          <w:b/>
          <w:bCs/>
        </w:rPr>
        <w:t>owner-occupiers</w:t>
      </w:r>
      <w:r w:rsidRPr="00C85195">
        <w:t xml:space="preserve">, living in Wootton for </w:t>
      </w:r>
      <w:r w:rsidRPr="00C85195">
        <w:rPr>
          <w:b/>
          <w:bCs/>
        </w:rPr>
        <w:t>over 10 years</w:t>
      </w:r>
      <w:r w:rsidRPr="00C85195">
        <w:t>, showing a stable, long-term population.</w:t>
      </w:r>
    </w:p>
    <w:p w14:paraId="64FDBDDE" w14:textId="2E9150E0" w:rsidR="00C85195" w:rsidRDefault="00C85195" w:rsidP="008F76FF">
      <w:pPr>
        <w:numPr>
          <w:ilvl w:val="0"/>
          <w:numId w:val="4"/>
        </w:numPr>
        <w:spacing w:after="0" w:line="240" w:lineRule="auto"/>
        <w:ind w:left="714" w:hanging="357"/>
      </w:pPr>
      <w:r w:rsidRPr="00C85195">
        <w:t>Limited representation from renters and younger households.</w:t>
      </w:r>
    </w:p>
    <w:p w14:paraId="2309B746" w14:textId="77777777" w:rsidR="008F76FF" w:rsidRPr="00C85195" w:rsidRDefault="008F76FF" w:rsidP="008F76FF">
      <w:pPr>
        <w:spacing w:after="0" w:line="240" w:lineRule="auto"/>
        <w:ind w:left="714"/>
      </w:pPr>
    </w:p>
    <w:p w14:paraId="7569CA08" w14:textId="3434A029" w:rsidR="00C85195" w:rsidRPr="008F76FF" w:rsidRDefault="006C38E3" w:rsidP="008F76FF">
      <w:pPr>
        <w:pStyle w:val="ListParagraph"/>
        <w:numPr>
          <w:ilvl w:val="0"/>
          <w:numId w:val="9"/>
        </w:numPr>
        <w:spacing w:after="0" w:line="240" w:lineRule="auto"/>
      </w:pPr>
      <w:r>
        <w:rPr>
          <w:b/>
          <w:bCs/>
        </w:rPr>
        <w:t>Attitudes towards h</w:t>
      </w:r>
      <w:r w:rsidR="00C85195" w:rsidRPr="00B9124F">
        <w:rPr>
          <w:b/>
          <w:bCs/>
        </w:rPr>
        <w:t>ousing development</w:t>
      </w:r>
      <w:r>
        <w:rPr>
          <w:b/>
          <w:bCs/>
        </w:rPr>
        <w:t xml:space="preserve"> </w:t>
      </w:r>
    </w:p>
    <w:p w14:paraId="2978E7EB" w14:textId="77777777" w:rsidR="008F76FF" w:rsidRPr="00C85195" w:rsidRDefault="008F76FF" w:rsidP="008F76FF">
      <w:pPr>
        <w:pStyle w:val="ListParagraph"/>
        <w:spacing w:after="0" w:line="240" w:lineRule="auto"/>
        <w:ind w:left="360"/>
      </w:pPr>
    </w:p>
    <w:p w14:paraId="767893AF" w14:textId="77777777" w:rsidR="00C85195" w:rsidRPr="00C85195" w:rsidRDefault="00C85195" w:rsidP="008F76FF">
      <w:pPr>
        <w:numPr>
          <w:ilvl w:val="0"/>
          <w:numId w:val="5"/>
        </w:numPr>
        <w:spacing w:after="0" w:line="240" w:lineRule="auto"/>
      </w:pPr>
      <w:r w:rsidRPr="00C85195">
        <w:t xml:space="preserve">Clear resistance to </w:t>
      </w:r>
      <w:r w:rsidRPr="00C85195">
        <w:rPr>
          <w:b/>
          <w:bCs/>
        </w:rPr>
        <w:t>large new estates</w:t>
      </w:r>
      <w:r w:rsidRPr="00C85195">
        <w:t xml:space="preserve">; preference for </w:t>
      </w:r>
      <w:r w:rsidRPr="00C85195">
        <w:rPr>
          <w:b/>
          <w:bCs/>
        </w:rPr>
        <w:t>incremental infill</w:t>
      </w:r>
      <w:r w:rsidRPr="00C85195">
        <w:t xml:space="preserve"> and </w:t>
      </w:r>
      <w:r w:rsidRPr="00C85195">
        <w:rPr>
          <w:b/>
          <w:bCs/>
        </w:rPr>
        <w:t>conversion of existing buildings</w:t>
      </w:r>
      <w:r w:rsidRPr="00C85195">
        <w:t>.</w:t>
      </w:r>
    </w:p>
    <w:p w14:paraId="0AC6874E" w14:textId="77777777" w:rsidR="00C85195" w:rsidRPr="00C85195" w:rsidRDefault="00C85195" w:rsidP="008F76FF">
      <w:pPr>
        <w:numPr>
          <w:ilvl w:val="0"/>
          <w:numId w:val="5"/>
        </w:numPr>
        <w:spacing w:after="0" w:line="240" w:lineRule="auto"/>
      </w:pPr>
      <w:r w:rsidRPr="00C85195">
        <w:rPr>
          <w:b/>
          <w:bCs/>
        </w:rPr>
        <w:t>Affordable housing</w:t>
      </w:r>
      <w:r w:rsidRPr="00C85195">
        <w:t xml:space="preserve"> is supported when prioritised for </w:t>
      </w:r>
      <w:r w:rsidRPr="00C85195">
        <w:rPr>
          <w:b/>
          <w:bCs/>
        </w:rPr>
        <w:t>local or downsizing residents</w:t>
      </w:r>
      <w:r w:rsidRPr="00C85195">
        <w:t>.</w:t>
      </w:r>
    </w:p>
    <w:p w14:paraId="5272F12A" w14:textId="75FBC275" w:rsidR="00C85195" w:rsidRDefault="00C85195" w:rsidP="008F76FF">
      <w:pPr>
        <w:numPr>
          <w:ilvl w:val="0"/>
          <w:numId w:val="5"/>
        </w:numPr>
        <w:spacing w:after="0" w:line="240" w:lineRule="auto"/>
      </w:pPr>
      <w:r w:rsidRPr="00C85195">
        <w:t xml:space="preserve">Concerns noted about </w:t>
      </w:r>
      <w:r w:rsidRPr="00C85195">
        <w:rPr>
          <w:b/>
          <w:bCs/>
        </w:rPr>
        <w:t>traffic, parking, and strain on infrastructure</w:t>
      </w:r>
      <w:r w:rsidRPr="00C85195">
        <w:t>.</w:t>
      </w:r>
    </w:p>
    <w:p w14:paraId="6C7733E0" w14:textId="77777777" w:rsidR="00B80C6F" w:rsidRPr="00B80C6F" w:rsidRDefault="00B80C6F" w:rsidP="008F76FF">
      <w:pPr>
        <w:numPr>
          <w:ilvl w:val="0"/>
          <w:numId w:val="5"/>
        </w:numPr>
        <w:spacing w:after="0" w:line="240" w:lineRule="auto"/>
      </w:pPr>
      <w:r w:rsidRPr="00B80C6F">
        <w:t xml:space="preserve">All age groups favour </w:t>
      </w:r>
      <w:r w:rsidRPr="00B80C6F">
        <w:rPr>
          <w:b/>
          <w:bCs/>
        </w:rPr>
        <w:t>small groups (3–5 houses)</w:t>
      </w:r>
      <w:r w:rsidRPr="00B80C6F">
        <w:t xml:space="preserve"> or </w:t>
      </w:r>
      <w:r w:rsidRPr="00B80C6F">
        <w:rPr>
          <w:b/>
          <w:bCs/>
        </w:rPr>
        <w:t>individual builds</w:t>
      </w:r>
      <w:r w:rsidRPr="00B80C6F">
        <w:t>.</w:t>
      </w:r>
    </w:p>
    <w:p w14:paraId="340E0EB0" w14:textId="77777777" w:rsidR="00B80C6F" w:rsidRPr="00B80C6F" w:rsidRDefault="00B80C6F" w:rsidP="008F76FF">
      <w:pPr>
        <w:numPr>
          <w:ilvl w:val="0"/>
          <w:numId w:val="5"/>
        </w:numPr>
        <w:spacing w:after="0" w:line="240" w:lineRule="auto"/>
      </w:pPr>
      <w:r w:rsidRPr="00B80C6F">
        <w:t>Support for larger schemes decreases sharply with age.</w:t>
      </w:r>
    </w:p>
    <w:p w14:paraId="1A564896" w14:textId="77777777" w:rsidR="00B80C6F" w:rsidRPr="00B80C6F" w:rsidRDefault="00B80C6F" w:rsidP="00E93750">
      <w:pPr>
        <w:numPr>
          <w:ilvl w:val="1"/>
          <w:numId w:val="5"/>
        </w:numPr>
        <w:spacing w:after="0" w:line="240" w:lineRule="auto"/>
      </w:pPr>
      <w:r w:rsidRPr="00B80C6F">
        <w:t xml:space="preserve">The </w:t>
      </w:r>
      <w:r w:rsidRPr="00B80C6F">
        <w:rPr>
          <w:b/>
          <w:bCs/>
        </w:rPr>
        <w:t>46–67 group</w:t>
      </w:r>
      <w:r w:rsidRPr="00B80C6F">
        <w:t xml:space="preserve"> shows the most consistent preference for small developments and conversions.</w:t>
      </w:r>
    </w:p>
    <w:p w14:paraId="0AD1561A" w14:textId="052CDDC3" w:rsidR="00B80C6F" w:rsidRDefault="00B80C6F" w:rsidP="00E93750">
      <w:pPr>
        <w:numPr>
          <w:ilvl w:val="1"/>
          <w:numId w:val="5"/>
        </w:numPr>
        <w:spacing w:after="0" w:line="240" w:lineRule="auto"/>
      </w:pPr>
      <w:r w:rsidRPr="00B80C6F">
        <w:t xml:space="preserve">The </w:t>
      </w:r>
      <w:r w:rsidRPr="00B80C6F">
        <w:rPr>
          <w:b/>
          <w:bCs/>
        </w:rPr>
        <w:t>21–45 group</w:t>
      </w:r>
      <w:r w:rsidRPr="00B80C6F">
        <w:t xml:space="preserve"> expresses slightly more openness to </w:t>
      </w:r>
      <w:r w:rsidRPr="00B80C6F">
        <w:rPr>
          <w:b/>
          <w:bCs/>
        </w:rPr>
        <w:t>affordable housing</w:t>
      </w:r>
      <w:r w:rsidRPr="00B80C6F">
        <w:t xml:space="preserve"> and </w:t>
      </w:r>
      <w:r w:rsidRPr="00B80C6F">
        <w:rPr>
          <w:b/>
          <w:bCs/>
        </w:rPr>
        <w:t>new builds</w:t>
      </w:r>
      <w:r w:rsidRPr="00B80C6F">
        <w:t>, reflecting younger households’ need for entry options.</w:t>
      </w:r>
    </w:p>
    <w:p w14:paraId="7390732E" w14:textId="77777777" w:rsidR="004D63E7" w:rsidRPr="004D63E7" w:rsidRDefault="004D63E7" w:rsidP="008F76FF">
      <w:pPr>
        <w:numPr>
          <w:ilvl w:val="0"/>
          <w:numId w:val="5"/>
        </w:numPr>
        <w:spacing w:after="0" w:line="240" w:lineRule="auto"/>
      </w:pPr>
      <w:r w:rsidRPr="004D63E7">
        <w:rPr>
          <w:b/>
          <w:bCs/>
        </w:rPr>
        <w:t>Older respondents</w:t>
      </w:r>
      <w:r w:rsidRPr="004D63E7">
        <w:t xml:space="preserve"> show stronger opposition to any </w:t>
      </w:r>
      <w:r w:rsidRPr="004D63E7">
        <w:rPr>
          <w:b/>
          <w:bCs/>
        </w:rPr>
        <w:t>modern-style or dense housing</w:t>
      </w:r>
      <w:r w:rsidRPr="004D63E7">
        <w:t>.</w:t>
      </w:r>
    </w:p>
    <w:p w14:paraId="27946C42" w14:textId="77760EB1" w:rsidR="004D63E7" w:rsidRDefault="004D63E7" w:rsidP="008F76FF">
      <w:pPr>
        <w:numPr>
          <w:ilvl w:val="0"/>
          <w:numId w:val="5"/>
        </w:numPr>
        <w:spacing w:after="0" w:line="240" w:lineRule="auto"/>
      </w:pPr>
      <w:r w:rsidRPr="004D63E7">
        <w:rPr>
          <w:b/>
          <w:bCs/>
        </w:rPr>
        <w:t>Younger respondents</w:t>
      </w:r>
      <w:r w:rsidRPr="004D63E7">
        <w:t xml:space="preserve"> are more accepting of </w:t>
      </w:r>
      <w:r w:rsidRPr="004D63E7">
        <w:rPr>
          <w:b/>
          <w:bCs/>
        </w:rPr>
        <w:t>modest infill and affordable housing</w:t>
      </w:r>
      <w:r w:rsidRPr="004D63E7">
        <w:t>, but still within design limits.</w:t>
      </w:r>
    </w:p>
    <w:p w14:paraId="6401BA4E" w14:textId="78610F61" w:rsidR="00CD06A3" w:rsidRPr="00CD06A3" w:rsidRDefault="00CD06A3" w:rsidP="008F76FF">
      <w:pPr>
        <w:numPr>
          <w:ilvl w:val="0"/>
          <w:numId w:val="5"/>
        </w:numPr>
        <w:spacing w:after="0" w:line="240" w:lineRule="auto"/>
      </w:pPr>
      <w:r w:rsidRPr="00CD06A3">
        <w:rPr>
          <w:b/>
          <w:bCs/>
        </w:rPr>
        <w:t>Owner-occupiers (</w:t>
      </w:r>
      <w:r w:rsidR="0006220B">
        <w:rPr>
          <w:b/>
          <w:bCs/>
        </w:rPr>
        <w:t xml:space="preserve">c. </w:t>
      </w:r>
      <w:r w:rsidRPr="00CD06A3">
        <w:rPr>
          <w:b/>
          <w:bCs/>
        </w:rPr>
        <w:t>85%)</w:t>
      </w:r>
      <w:r w:rsidRPr="00CD06A3">
        <w:t xml:space="preserve"> show strong resistance to large developments and preference for conversions or 3–5-house clusters.</w:t>
      </w:r>
    </w:p>
    <w:p w14:paraId="75C5B639" w14:textId="28680DEB" w:rsidR="00CD06A3" w:rsidRDefault="00CD06A3" w:rsidP="008F76FF">
      <w:pPr>
        <w:numPr>
          <w:ilvl w:val="0"/>
          <w:numId w:val="5"/>
        </w:numPr>
        <w:spacing w:after="0" w:line="240" w:lineRule="auto"/>
      </w:pPr>
      <w:r w:rsidRPr="00CD06A3">
        <w:rPr>
          <w:b/>
          <w:bCs/>
        </w:rPr>
        <w:t>Renters and housing-association tenants</w:t>
      </w:r>
      <w:r w:rsidRPr="00CD06A3">
        <w:t xml:space="preserve"> (</w:t>
      </w:r>
      <w:r w:rsidR="0006220B">
        <w:t xml:space="preserve">but a </w:t>
      </w:r>
      <w:r w:rsidRPr="00CD06A3">
        <w:t xml:space="preserve">small minority) show higher support for </w:t>
      </w:r>
      <w:r w:rsidRPr="00CD06A3">
        <w:rPr>
          <w:b/>
          <w:bCs/>
        </w:rPr>
        <w:t>affordable and shared-ownership housing</w:t>
      </w:r>
      <w:r w:rsidRPr="00CD06A3">
        <w:t>.</w:t>
      </w:r>
    </w:p>
    <w:p w14:paraId="4539A6F3" w14:textId="77777777" w:rsidR="008F76FF" w:rsidRPr="00C85195" w:rsidRDefault="008F76FF" w:rsidP="008F76FF">
      <w:pPr>
        <w:spacing w:after="0" w:line="240" w:lineRule="auto"/>
        <w:ind w:left="720"/>
      </w:pPr>
    </w:p>
    <w:p w14:paraId="1E9ABC70" w14:textId="678B0269" w:rsidR="00C85195" w:rsidRPr="008F76FF" w:rsidRDefault="006C38E3" w:rsidP="008F76FF">
      <w:pPr>
        <w:pStyle w:val="ListParagraph"/>
        <w:numPr>
          <w:ilvl w:val="0"/>
          <w:numId w:val="9"/>
        </w:numPr>
        <w:spacing w:after="0" w:line="240" w:lineRule="auto"/>
      </w:pPr>
      <w:r>
        <w:rPr>
          <w:b/>
          <w:bCs/>
        </w:rPr>
        <w:t>Views on Wootton’s e</w:t>
      </w:r>
      <w:r w:rsidR="00C85195" w:rsidRPr="00B9124F">
        <w:rPr>
          <w:b/>
          <w:bCs/>
        </w:rPr>
        <w:t>nvironment and character</w:t>
      </w:r>
    </w:p>
    <w:p w14:paraId="1982A251" w14:textId="77777777" w:rsidR="008F76FF" w:rsidRPr="00C85195" w:rsidRDefault="008F76FF" w:rsidP="008F76FF">
      <w:pPr>
        <w:pStyle w:val="ListParagraph"/>
        <w:spacing w:after="0" w:line="240" w:lineRule="auto"/>
        <w:ind w:left="360"/>
      </w:pPr>
    </w:p>
    <w:p w14:paraId="313BE8E8" w14:textId="77777777" w:rsidR="00C85195" w:rsidRPr="00C85195" w:rsidRDefault="00C85195" w:rsidP="008F76FF">
      <w:pPr>
        <w:numPr>
          <w:ilvl w:val="0"/>
          <w:numId w:val="6"/>
        </w:numPr>
        <w:spacing w:after="0" w:line="240" w:lineRule="auto"/>
      </w:pPr>
      <w:r w:rsidRPr="00C85195">
        <w:t xml:space="preserve">High value placed on </w:t>
      </w:r>
      <w:r w:rsidRPr="00C85195">
        <w:rPr>
          <w:b/>
          <w:bCs/>
        </w:rPr>
        <w:t>green spaces, wildlife habitats, and rural landscape</w:t>
      </w:r>
      <w:r w:rsidRPr="00C85195">
        <w:t>.</w:t>
      </w:r>
    </w:p>
    <w:p w14:paraId="6262EC6A" w14:textId="77777777" w:rsidR="00C85195" w:rsidRPr="00C85195" w:rsidRDefault="00C85195" w:rsidP="008F76FF">
      <w:pPr>
        <w:numPr>
          <w:ilvl w:val="0"/>
          <w:numId w:val="6"/>
        </w:numPr>
        <w:spacing w:after="0" w:line="240" w:lineRule="auto"/>
      </w:pPr>
      <w:r w:rsidRPr="00C85195">
        <w:t xml:space="preserve">Frequent calls to protect </w:t>
      </w:r>
      <w:r w:rsidRPr="00C85195">
        <w:rPr>
          <w:b/>
          <w:bCs/>
        </w:rPr>
        <w:t>footpaths, trees, and views</w:t>
      </w:r>
      <w:r w:rsidRPr="00C85195">
        <w:t>.</w:t>
      </w:r>
    </w:p>
    <w:p w14:paraId="08147A13" w14:textId="77777777" w:rsidR="00C85195" w:rsidRDefault="00C85195" w:rsidP="008F76FF">
      <w:pPr>
        <w:numPr>
          <w:ilvl w:val="0"/>
          <w:numId w:val="6"/>
        </w:numPr>
        <w:spacing w:after="0" w:line="240" w:lineRule="auto"/>
      </w:pPr>
      <w:r w:rsidRPr="00C85195">
        <w:lastRenderedPageBreak/>
        <w:t>Environmental sustainability (energy efficiency, renewable energy, biodiversity) viewed positively if sympathetic to village scale.</w:t>
      </w:r>
    </w:p>
    <w:p w14:paraId="460E0D20" w14:textId="77777777" w:rsidR="00C003A6" w:rsidRPr="00C003A6" w:rsidRDefault="00C003A6" w:rsidP="008F76FF">
      <w:pPr>
        <w:numPr>
          <w:ilvl w:val="0"/>
          <w:numId w:val="6"/>
        </w:numPr>
        <w:spacing w:after="0" w:line="240" w:lineRule="auto"/>
      </w:pPr>
      <w:r w:rsidRPr="00C003A6">
        <w:t xml:space="preserve">All ages value green space, but the </w:t>
      </w:r>
      <w:r w:rsidRPr="00C003A6">
        <w:rPr>
          <w:b/>
          <w:bCs/>
        </w:rPr>
        <w:t>67+ group</w:t>
      </w:r>
      <w:r w:rsidRPr="00C003A6">
        <w:t xml:space="preserve"> expresses the strongest concern for </w:t>
      </w:r>
      <w:r w:rsidRPr="00C003A6">
        <w:rPr>
          <w:b/>
          <w:bCs/>
        </w:rPr>
        <w:t>wildlife, tranquillity, and landscape protection</w:t>
      </w:r>
      <w:r w:rsidRPr="00C003A6">
        <w:t>.</w:t>
      </w:r>
    </w:p>
    <w:p w14:paraId="13625158" w14:textId="74DFA924" w:rsidR="00C003A6" w:rsidRDefault="00C003A6" w:rsidP="008F76FF">
      <w:pPr>
        <w:numPr>
          <w:ilvl w:val="0"/>
          <w:numId w:val="6"/>
        </w:numPr>
        <w:spacing w:after="0" w:line="240" w:lineRule="auto"/>
      </w:pPr>
      <w:r w:rsidRPr="00C003A6">
        <w:t xml:space="preserve">The </w:t>
      </w:r>
      <w:r w:rsidRPr="00C003A6">
        <w:rPr>
          <w:b/>
          <w:bCs/>
        </w:rPr>
        <w:t>21–45 group</w:t>
      </w:r>
      <w:r w:rsidRPr="00C003A6">
        <w:t xml:space="preserve"> more frequently supports </w:t>
      </w:r>
      <w:r w:rsidRPr="00C003A6">
        <w:rPr>
          <w:b/>
          <w:bCs/>
        </w:rPr>
        <w:t>renewable energy</w:t>
      </w:r>
      <w:r w:rsidRPr="00C003A6">
        <w:t xml:space="preserve"> and </w:t>
      </w:r>
      <w:r w:rsidRPr="00C003A6">
        <w:rPr>
          <w:b/>
          <w:bCs/>
        </w:rPr>
        <w:t>sustainability measures</w:t>
      </w:r>
      <w:r w:rsidRPr="00C003A6">
        <w:t>, provided they fit the village setting.</w:t>
      </w:r>
    </w:p>
    <w:p w14:paraId="6554E48D" w14:textId="77777777" w:rsidR="00E75F16" w:rsidRPr="00E75F16" w:rsidRDefault="00E75F16" w:rsidP="008F76FF">
      <w:pPr>
        <w:numPr>
          <w:ilvl w:val="0"/>
          <w:numId w:val="6"/>
        </w:numPr>
        <w:spacing w:after="0" w:line="240" w:lineRule="auto"/>
      </w:pPr>
      <w:r w:rsidRPr="00E75F16">
        <w:rPr>
          <w:b/>
          <w:bCs/>
        </w:rPr>
        <w:t>Families with school-age children</w:t>
      </w:r>
      <w:r w:rsidRPr="00E75F16">
        <w:t xml:space="preserve"> prioritise </w:t>
      </w:r>
      <w:r w:rsidRPr="00E75F16">
        <w:rPr>
          <w:b/>
          <w:bCs/>
        </w:rPr>
        <w:t>transport, schooling, and recreation spaces</w:t>
      </w:r>
      <w:r w:rsidRPr="00E75F16">
        <w:t>.</w:t>
      </w:r>
    </w:p>
    <w:p w14:paraId="04D0D9B5" w14:textId="77777777" w:rsidR="00E75F16" w:rsidRPr="00E75F16" w:rsidRDefault="00E75F16" w:rsidP="008F76FF">
      <w:pPr>
        <w:numPr>
          <w:ilvl w:val="0"/>
          <w:numId w:val="6"/>
        </w:numPr>
        <w:spacing w:after="0" w:line="240" w:lineRule="auto"/>
      </w:pPr>
      <w:r w:rsidRPr="00E75F16">
        <w:rPr>
          <w:b/>
          <w:bCs/>
        </w:rPr>
        <w:t>Retired households</w:t>
      </w:r>
      <w:r w:rsidRPr="00E75F16">
        <w:t xml:space="preserve"> emphasise </w:t>
      </w:r>
      <w:r w:rsidRPr="00E75F16">
        <w:rPr>
          <w:b/>
          <w:bCs/>
        </w:rPr>
        <w:t>quietness, conservation, and continuity</w:t>
      </w:r>
      <w:r w:rsidRPr="00E75F16">
        <w:t>.</w:t>
      </w:r>
    </w:p>
    <w:p w14:paraId="5B0AB34C" w14:textId="0DF9634D" w:rsidR="00E75F16" w:rsidRDefault="00E75F16" w:rsidP="008F76FF">
      <w:pPr>
        <w:numPr>
          <w:ilvl w:val="0"/>
          <w:numId w:val="6"/>
        </w:numPr>
        <w:spacing w:after="0" w:line="240" w:lineRule="auto"/>
      </w:pPr>
      <w:r w:rsidRPr="00E75F16">
        <w:rPr>
          <w:b/>
          <w:bCs/>
        </w:rPr>
        <w:t>Single adults</w:t>
      </w:r>
      <w:r w:rsidRPr="00E75F16">
        <w:t xml:space="preserve"> mention </w:t>
      </w:r>
      <w:r w:rsidRPr="00E75F16">
        <w:rPr>
          <w:b/>
          <w:bCs/>
        </w:rPr>
        <w:t>affordability and community inclusion</w:t>
      </w:r>
      <w:r w:rsidRPr="00E75F16">
        <w:t>.</w:t>
      </w:r>
    </w:p>
    <w:p w14:paraId="7CB0E23B" w14:textId="77777777" w:rsidR="008F76FF" w:rsidRPr="00C85195" w:rsidRDefault="008F76FF" w:rsidP="008F76FF">
      <w:pPr>
        <w:spacing w:after="0" w:line="240" w:lineRule="auto"/>
        <w:ind w:left="720"/>
      </w:pPr>
    </w:p>
    <w:p w14:paraId="3A7B433D" w14:textId="1A96B8EF" w:rsidR="00C85195" w:rsidRPr="008F76FF" w:rsidRDefault="00D778F0" w:rsidP="008F76FF">
      <w:pPr>
        <w:pStyle w:val="ListParagraph"/>
        <w:numPr>
          <w:ilvl w:val="0"/>
          <w:numId w:val="9"/>
        </w:numPr>
        <w:spacing w:after="0" w:line="240" w:lineRule="auto"/>
      </w:pPr>
      <w:r>
        <w:rPr>
          <w:b/>
          <w:bCs/>
        </w:rPr>
        <w:t>Views on a</w:t>
      </w:r>
      <w:r w:rsidR="00C85195" w:rsidRPr="00B9124F">
        <w:rPr>
          <w:b/>
          <w:bCs/>
        </w:rPr>
        <w:t>menities and services</w:t>
      </w:r>
    </w:p>
    <w:p w14:paraId="49724624" w14:textId="77777777" w:rsidR="008F76FF" w:rsidRPr="00C85195" w:rsidRDefault="008F76FF" w:rsidP="008F76FF">
      <w:pPr>
        <w:pStyle w:val="ListParagraph"/>
        <w:spacing w:after="0" w:line="240" w:lineRule="auto"/>
        <w:ind w:left="360"/>
      </w:pPr>
    </w:p>
    <w:p w14:paraId="25CF5201" w14:textId="77777777" w:rsidR="00C85195" w:rsidRPr="00C85195" w:rsidRDefault="00C85195" w:rsidP="008F76FF">
      <w:pPr>
        <w:numPr>
          <w:ilvl w:val="0"/>
          <w:numId w:val="7"/>
        </w:numPr>
        <w:spacing w:after="0" w:line="240" w:lineRule="auto"/>
      </w:pPr>
      <w:r w:rsidRPr="00C85195">
        <w:t xml:space="preserve">Requests for better </w:t>
      </w:r>
      <w:r w:rsidRPr="00C85195">
        <w:rPr>
          <w:b/>
          <w:bCs/>
        </w:rPr>
        <w:t>bus links</w:t>
      </w:r>
      <w:r w:rsidRPr="00C85195">
        <w:t xml:space="preserve">, </w:t>
      </w:r>
      <w:r w:rsidRPr="00C85195">
        <w:rPr>
          <w:b/>
          <w:bCs/>
        </w:rPr>
        <w:t>shop</w:t>
      </w:r>
      <w:r w:rsidRPr="00C85195">
        <w:t xml:space="preserve">, and </w:t>
      </w:r>
      <w:r w:rsidRPr="00C85195">
        <w:rPr>
          <w:b/>
          <w:bCs/>
        </w:rPr>
        <w:t>pub/café</w:t>
      </w:r>
      <w:r w:rsidRPr="00C85195">
        <w:t xml:space="preserve"> revival.</w:t>
      </w:r>
    </w:p>
    <w:p w14:paraId="475EBE3F" w14:textId="67B4CBBF" w:rsidR="00C85195" w:rsidRDefault="00C85195" w:rsidP="008F76FF">
      <w:pPr>
        <w:numPr>
          <w:ilvl w:val="0"/>
          <w:numId w:val="7"/>
        </w:numPr>
        <w:spacing w:after="0" w:line="240" w:lineRule="auto"/>
      </w:pPr>
      <w:r w:rsidRPr="00C85195">
        <w:t xml:space="preserve">Support for maintaining or improving </w:t>
      </w:r>
      <w:r w:rsidRPr="00C85195">
        <w:rPr>
          <w:b/>
          <w:bCs/>
        </w:rPr>
        <w:t>community facilities</w:t>
      </w:r>
      <w:r w:rsidRPr="00C85195">
        <w:t xml:space="preserve"> (hall, playground, church spaces).</w:t>
      </w:r>
    </w:p>
    <w:p w14:paraId="4FD236E0" w14:textId="77777777" w:rsidR="00AB7A3D" w:rsidRPr="00AB7A3D" w:rsidRDefault="00AB7A3D" w:rsidP="008F76FF">
      <w:pPr>
        <w:numPr>
          <w:ilvl w:val="0"/>
          <w:numId w:val="7"/>
        </w:numPr>
        <w:spacing w:after="0" w:line="240" w:lineRule="auto"/>
      </w:pPr>
      <w:r w:rsidRPr="00AB7A3D">
        <w:rPr>
          <w:b/>
          <w:bCs/>
        </w:rPr>
        <w:t>Younger and middle-aged respondents (21–45, 46–67)</w:t>
      </w:r>
      <w:r w:rsidRPr="00AB7A3D">
        <w:t xml:space="preserve"> mention the need for </w:t>
      </w:r>
      <w:r w:rsidRPr="00AB7A3D">
        <w:rPr>
          <w:b/>
          <w:bCs/>
        </w:rPr>
        <w:t>a shop, café, and social hub</w:t>
      </w:r>
      <w:r w:rsidRPr="00AB7A3D">
        <w:t xml:space="preserve"> more often.</w:t>
      </w:r>
    </w:p>
    <w:p w14:paraId="21DDCF1A" w14:textId="0F7C7067" w:rsidR="00C003A6" w:rsidRDefault="00AB7A3D" w:rsidP="008F76FF">
      <w:pPr>
        <w:numPr>
          <w:ilvl w:val="0"/>
          <w:numId w:val="7"/>
        </w:numPr>
        <w:spacing w:after="0" w:line="240" w:lineRule="auto"/>
      </w:pPr>
      <w:r w:rsidRPr="00AB7A3D">
        <w:rPr>
          <w:b/>
          <w:bCs/>
        </w:rPr>
        <w:t>Older groups (67+)</w:t>
      </w:r>
      <w:r w:rsidRPr="00AB7A3D">
        <w:t xml:space="preserve"> focus on maintaining </w:t>
      </w:r>
      <w:r w:rsidRPr="00AB7A3D">
        <w:rPr>
          <w:b/>
          <w:bCs/>
        </w:rPr>
        <w:t>church, hall, and existing amenities</w:t>
      </w:r>
      <w:r w:rsidRPr="00AB7A3D">
        <w:t>, showing continuity preference rather than expansion.</w:t>
      </w:r>
    </w:p>
    <w:p w14:paraId="673DB29F" w14:textId="77777777" w:rsidR="008F76FF" w:rsidRDefault="008F76FF" w:rsidP="008F76FF">
      <w:pPr>
        <w:spacing w:after="0" w:line="240" w:lineRule="auto"/>
        <w:ind w:left="720"/>
      </w:pPr>
    </w:p>
    <w:p w14:paraId="21E7B977" w14:textId="54894EE6" w:rsidR="00AB7A3D" w:rsidRDefault="00AB7A3D" w:rsidP="008F76FF">
      <w:pPr>
        <w:pStyle w:val="ListParagraph"/>
        <w:numPr>
          <w:ilvl w:val="0"/>
          <w:numId w:val="9"/>
        </w:numPr>
        <w:spacing w:after="0" w:line="240" w:lineRule="auto"/>
        <w:rPr>
          <w:b/>
          <w:bCs/>
        </w:rPr>
      </w:pPr>
      <w:r w:rsidRPr="00173251">
        <w:rPr>
          <w:b/>
          <w:bCs/>
        </w:rPr>
        <w:t>Transport and mobilit</w:t>
      </w:r>
      <w:r w:rsidR="008F76FF">
        <w:rPr>
          <w:b/>
          <w:bCs/>
        </w:rPr>
        <w:t>y</w:t>
      </w:r>
    </w:p>
    <w:p w14:paraId="73462D62" w14:textId="77777777" w:rsidR="008F76FF" w:rsidRPr="00173251" w:rsidRDefault="008F76FF" w:rsidP="008F76FF">
      <w:pPr>
        <w:pStyle w:val="ListParagraph"/>
        <w:spacing w:after="0" w:line="240" w:lineRule="auto"/>
        <w:ind w:left="360"/>
        <w:rPr>
          <w:b/>
          <w:bCs/>
        </w:rPr>
      </w:pPr>
    </w:p>
    <w:p w14:paraId="3C924124" w14:textId="33DA7497" w:rsidR="00173251" w:rsidRPr="00173251" w:rsidRDefault="00173251" w:rsidP="008F76FF">
      <w:pPr>
        <w:numPr>
          <w:ilvl w:val="0"/>
          <w:numId w:val="14"/>
        </w:numPr>
        <w:spacing w:after="0" w:line="240" w:lineRule="auto"/>
      </w:pPr>
      <w:r w:rsidRPr="00173251">
        <w:rPr>
          <w:b/>
          <w:bCs/>
        </w:rPr>
        <w:t>Younger groups</w:t>
      </w:r>
      <w:r w:rsidRPr="00173251">
        <w:t xml:space="preserve"> </w:t>
      </w:r>
      <w:r>
        <w:t>seek</w:t>
      </w:r>
      <w:r w:rsidRPr="00173251">
        <w:t xml:space="preserve"> better </w:t>
      </w:r>
      <w:r w:rsidRPr="00173251">
        <w:rPr>
          <w:b/>
          <w:bCs/>
        </w:rPr>
        <w:t>bus services</w:t>
      </w:r>
      <w:r w:rsidRPr="00173251">
        <w:t xml:space="preserve"> to Oxford and Woodstock for commuting and schooling.</w:t>
      </w:r>
    </w:p>
    <w:p w14:paraId="51D9CFDA" w14:textId="77777777" w:rsidR="00173251" w:rsidRDefault="00173251" w:rsidP="008F76FF">
      <w:pPr>
        <w:numPr>
          <w:ilvl w:val="0"/>
          <w:numId w:val="14"/>
        </w:numPr>
        <w:spacing w:after="0" w:line="240" w:lineRule="auto"/>
      </w:pPr>
      <w:r w:rsidRPr="00173251">
        <w:rPr>
          <w:b/>
          <w:bCs/>
        </w:rPr>
        <w:t>Older respondents</w:t>
      </w:r>
      <w:r w:rsidRPr="00173251">
        <w:t xml:space="preserve"> stress </w:t>
      </w:r>
      <w:r w:rsidRPr="00173251">
        <w:rPr>
          <w:b/>
          <w:bCs/>
        </w:rPr>
        <w:t>footpath maintenance and local accessibility</w:t>
      </w:r>
      <w:r w:rsidRPr="00173251">
        <w:t>, less concerned with daily travel links.</w:t>
      </w:r>
    </w:p>
    <w:p w14:paraId="087D65F3" w14:textId="075058FF" w:rsidR="0071412B" w:rsidRPr="0071412B" w:rsidRDefault="0071412B" w:rsidP="008F76FF">
      <w:pPr>
        <w:numPr>
          <w:ilvl w:val="0"/>
          <w:numId w:val="14"/>
        </w:numPr>
        <w:spacing w:after="0" w:line="240" w:lineRule="auto"/>
      </w:pPr>
      <w:r w:rsidRPr="0071412B">
        <w:t xml:space="preserve">Respondents on </w:t>
      </w:r>
      <w:r w:rsidRPr="0071412B">
        <w:rPr>
          <w:b/>
          <w:bCs/>
        </w:rPr>
        <w:t xml:space="preserve">Castle Road and </w:t>
      </w:r>
      <w:r w:rsidR="001D5570">
        <w:rPr>
          <w:b/>
          <w:bCs/>
        </w:rPr>
        <w:t>Glympton Road</w:t>
      </w:r>
      <w:r w:rsidRPr="0071412B">
        <w:t xml:space="preserve"> report </w:t>
      </w:r>
      <w:r w:rsidRPr="0071412B">
        <w:rPr>
          <w:b/>
          <w:bCs/>
        </w:rPr>
        <w:t>traffic and parking</w:t>
      </w:r>
      <w:r w:rsidRPr="0071412B">
        <w:t xml:space="preserve"> issues most often.</w:t>
      </w:r>
    </w:p>
    <w:p w14:paraId="3EF38308" w14:textId="6D75E74F" w:rsidR="00AB7A3D" w:rsidRDefault="0071412B" w:rsidP="008F76FF">
      <w:pPr>
        <w:numPr>
          <w:ilvl w:val="0"/>
          <w:numId w:val="14"/>
        </w:numPr>
        <w:spacing w:after="0" w:line="240" w:lineRule="auto"/>
      </w:pPr>
      <w:r w:rsidRPr="0071412B">
        <w:t xml:space="preserve">Those in </w:t>
      </w:r>
      <w:r w:rsidRPr="0071412B">
        <w:rPr>
          <w:b/>
          <w:bCs/>
        </w:rPr>
        <w:t>northern postcodes (near Glympton Road)</w:t>
      </w:r>
      <w:r w:rsidRPr="0071412B">
        <w:t xml:space="preserve"> mention </w:t>
      </w:r>
      <w:r w:rsidRPr="0071412B">
        <w:rPr>
          <w:b/>
          <w:bCs/>
        </w:rPr>
        <w:t>road safety and pedestrian access</w:t>
      </w:r>
      <w:r w:rsidRPr="0071412B">
        <w:t>.</w:t>
      </w:r>
    </w:p>
    <w:p w14:paraId="715FC2A8" w14:textId="77777777" w:rsidR="008F76FF" w:rsidRPr="00C85195" w:rsidRDefault="008F76FF" w:rsidP="008F76FF">
      <w:pPr>
        <w:spacing w:after="0" w:line="240" w:lineRule="auto"/>
        <w:ind w:left="720"/>
      </w:pPr>
    </w:p>
    <w:p w14:paraId="18B55C7E" w14:textId="09D506F5" w:rsidR="00C85195" w:rsidRPr="008F76FF" w:rsidRDefault="00C85195" w:rsidP="008F76FF">
      <w:pPr>
        <w:pStyle w:val="ListParagraph"/>
        <w:numPr>
          <w:ilvl w:val="0"/>
          <w:numId w:val="9"/>
        </w:numPr>
        <w:spacing w:after="0" w:line="240" w:lineRule="auto"/>
      </w:pPr>
      <w:r w:rsidRPr="00B9124F">
        <w:rPr>
          <w:b/>
          <w:bCs/>
        </w:rPr>
        <w:t>Communication and engagement</w:t>
      </w:r>
    </w:p>
    <w:p w14:paraId="166D6196" w14:textId="77777777" w:rsidR="008F76FF" w:rsidRPr="00C85195" w:rsidRDefault="008F76FF" w:rsidP="008F76FF">
      <w:pPr>
        <w:pStyle w:val="ListParagraph"/>
        <w:spacing w:after="0" w:line="240" w:lineRule="auto"/>
        <w:ind w:left="360"/>
      </w:pPr>
    </w:p>
    <w:p w14:paraId="00AA0CF1" w14:textId="77777777" w:rsidR="00C85195" w:rsidRPr="00C85195" w:rsidRDefault="00C85195" w:rsidP="008F76FF">
      <w:pPr>
        <w:numPr>
          <w:ilvl w:val="0"/>
          <w:numId w:val="8"/>
        </w:numPr>
        <w:spacing w:after="0" w:line="240" w:lineRule="auto"/>
      </w:pPr>
      <w:r w:rsidRPr="00C85195">
        <w:t xml:space="preserve">Desire for </w:t>
      </w:r>
      <w:r w:rsidRPr="00C85195">
        <w:rPr>
          <w:b/>
          <w:bCs/>
        </w:rPr>
        <w:t>transparency</w:t>
      </w:r>
      <w:r w:rsidRPr="00C85195">
        <w:t xml:space="preserve"> and </w:t>
      </w:r>
      <w:r w:rsidRPr="00C85195">
        <w:rPr>
          <w:b/>
          <w:bCs/>
        </w:rPr>
        <w:t>regular updates</w:t>
      </w:r>
      <w:r w:rsidRPr="00C85195">
        <w:t xml:space="preserve"> from the parish council.</w:t>
      </w:r>
    </w:p>
    <w:p w14:paraId="16BF31C0" w14:textId="77777777" w:rsidR="00C85195" w:rsidRDefault="00C85195" w:rsidP="008F76FF">
      <w:pPr>
        <w:numPr>
          <w:ilvl w:val="0"/>
          <w:numId w:val="8"/>
        </w:numPr>
        <w:spacing w:after="0" w:line="240" w:lineRule="auto"/>
      </w:pPr>
      <w:r w:rsidRPr="00C85195">
        <w:t xml:space="preserve">Preference for </w:t>
      </w:r>
      <w:r w:rsidRPr="00C85195">
        <w:rPr>
          <w:b/>
          <w:bCs/>
        </w:rPr>
        <w:t>traditional print channels</w:t>
      </w:r>
      <w:r w:rsidRPr="00C85195">
        <w:t xml:space="preserve"> and </w:t>
      </w:r>
      <w:r w:rsidRPr="00C85195">
        <w:rPr>
          <w:b/>
          <w:bCs/>
        </w:rPr>
        <w:t>digital complement</w:t>
      </w:r>
      <w:r w:rsidRPr="00C85195">
        <w:t>, not replacement.</w:t>
      </w:r>
    </w:p>
    <w:p w14:paraId="3EB9C516" w14:textId="77777777" w:rsidR="005B59C4" w:rsidRPr="005B59C4" w:rsidRDefault="005B59C4" w:rsidP="008F76FF">
      <w:pPr>
        <w:numPr>
          <w:ilvl w:val="0"/>
          <w:numId w:val="8"/>
        </w:numPr>
        <w:spacing w:after="0" w:line="240" w:lineRule="auto"/>
      </w:pPr>
      <w:r w:rsidRPr="005B59C4">
        <w:rPr>
          <w:b/>
          <w:bCs/>
        </w:rPr>
        <w:t>46–80 group:</w:t>
      </w:r>
      <w:r w:rsidRPr="005B59C4">
        <w:t xml:space="preserve"> overwhelmingly prefers </w:t>
      </w:r>
      <w:r w:rsidRPr="005B59C4">
        <w:rPr>
          <w:b/>
          <w:bCs/>
        </w:rPr>
        <w:t>hard copy via Outreach</w:t>
      </w:r>
      <w:r w:rsidRPr="005B59C4">
        <w:t xml:space="preserve"> (45–29 responses).</w:t>
      </w:r>
    </w:p>
    <w:p w14:paraId="77CAAFDC" w14:textId="77777777" w:rsidR="005B59C4" w:rsidRPr="005B59C4" w:rsidRDefault="005B59C4" w:rsidP="008F76FF">
      <w:pPr>
        <w:numPr>
          <w:ilvl w:val="0"/>
          <w:numId w:val="8"/>
        </w:numPr>
        <w:spacing w:after="0" w:line="240" w:lineRule="auto"/>
      </w:pPr>
      <w:r w:rsidRPr="005B59C4">
        <w:rPr>
          <w:b/>
          <w:bCs/>
        </w:rPr>
        <w:t>21–45 group:</w:t>
      </w:r>
      <w:r w:rsidRPr="005B59C4">
        <w:t xml:space="preserve"> more balanced between </w:t>
      </w:r>
      <w:r w:rsidRPr="005B59C4">
        <w:rPr>
          <w:b/>
          <w:bCs/>
        </w:rPr>
        <w:t>online</w:t>
      </w:r>
      <w:r w:rsidRPr="005B59C4">
        <w:t xml:space="preserve"> and </w:t>
      </w:r>
      <w:r w:rsidRPr="005B59C4">
        <w:rPr>
          <w:b/>
          <w:bCs/>
        </w:rPr>
        <w:t>print</w:t>
      </w:r>
      <w:r w:rsidRPr="005B59C4">
        <w:t>, with 7 each.</w:t>
      </w:r>
    </w:p>
    <w:p w14:paraId="35C98714" w14:textId="77777777" w:rsidR="005B59C4" w:rsidRPr="005B59C4" w:rsidRDefault="005B59C4" w:rsidP="008F76FF">
      <w:pPr>
        <w:numPr>
          <w:ilvl w:val="0"/>
          <w:numId w:val="8"/>
        </w:numPr>
        <w:spacing w:after="0" w:line="240" w:lineRule="auto"/>
      </w:pPr>
      <w:r w:rsidRPr="005B59C4">
        <w:rPr>
          <w:b/>
          <w:bCs/>
        </w:rPr>
        <w:t xml:space="preserve">80+ </w:t>
      </w:r>
      <w:proofErr w:type="gramStart"/>
      <w:r w:rsidRPr="005B59C4">
        <w:rPr>
          <w:b/>
          <w:bCs/>
        </w:rPr>
        <w:t>group:</w:t>
      </w:r>
      <w:proofErr w:type="gramEnd"/>
      <w:r w:rsidRPr="005B59C4">
        <w:t xml:space="preserve"> relies almost entirely on </w:t>
      </w:r>
      <w:r w:rsidRPr="005B59C4">
        <w:rPr>
          <w:b/>
          <w:bCs/>
        </w:rPr>
        <w:t>Outreach</w:t>
      </w:r>
      <w:r w:rsidRPr="005B59C4">
        <w:t>, with negligible digital uptake.</w:t>
      </w:r>
    </w:p>
    <w:p w14:paraId="68C4A004" w14:textId="1AD6353F" w:rsidR="005B59C4" w:rsidRDefault="005B59C4" w:rsidP="008F76FF">
      <w:pPr>
        <w:numPr>
          <w:ilvl w:val="0"/>
          <w:numId w:val="8"/>
        </w:numPr>
        <w:spacing w:after="0" w:line="240" w:lineRule="auto"/>
      </w:pPr>
      <w:r w:rsidRPr="005B59C4">
        <w:t xml:space="preserve">Younger respondents (under 45) are the most likely to request </w:t>
      </w:r>
      <w:r w:rsidRPr="005B59C4">
        <w:rPr>
          <w:b/>
          <w:bCs/>
        </w:rPr>
        <w:t>multiple channels</w:t>
      </w:r>
      <w:r w:rsidRPr="005B59C4">
        <w:t xml:space="preserve"> or </w:t>
      </w:r>
      <w:r w:rsidRPr="005B59C4">
        <w:rPr>
          <w:b/>
          <w:bCs/>
        </w:rPr>
        <w:t>other forms</w:t>
      </w:r>
      <w:r w:rsidRPr="005B59C4">
        <w:t xml:space="preserve"> (e.g. email, WhatsApp).</w:t>
      </w:r>
    </w:p>
    <w:p w14:paraId="4EB82353" w14:textId="77777777" w:rsidR="006A65A0" w:rsidRPr="006A65A0" w:rsidRDefault="006A65A0" w:rsidP="008F76FF">
      <w:pPr>
        <w:numPr>
          <w:ilvl w:val="0"/>
          <w:numId w:val="8"/>
        </w:numPr>
        <w:spacing w:after="0" w:line="240" w:lineRule="auto"/>
      </w:pPr>
      <w:r w:rsidRPr="006A65A0">
        <w:rPr>
          <w:b/>
          <w:bCs/>
        </w:rPr>
        <w:t>Long-term residents and retirees</w:t>
      </w:r>
      <w:r w:rsidRPr="006A65A0">
        <w:t xml:space="preserve"> → “Outreach” and noticeboards.</w:t>
      </w:r>
    </w:p>
    <w:p w14:paraId="6C0D354A" w14:textId="38A48F2C" w:rsidR="006A65A0" w:rsidRDefault="006A65A0" w:rsidP="008F76FF">
      <w:pPr>
        <w:numPr>
          <w:ilvl w:val="0"/>
          <w:numId w:val="8"/>
        </w:numPr>
        <w:spacing w:after="0" w:line="240" w:lineRule="auto"/>
      </w:pPr>
      <w:r w:rsidRPr="006A65A0">
        <w:rPr>
          <w:b/>
          <w:bCs/>
        </w:rPr>
        <w:t>Recent arrivals</w:t>
      </w:r>
      <w:r w:rsidRPr="006A65A0">
        <w:t xml:space="preserve"> → more use of website, WhatsApp, and digital formats.</w:t>
      </w:r>
    </w:p>
    <w:p w14:paraId="6A8D3B9F" w14:textId="77777777" w:rsidR="008F76FF" w:rsidRDefault="008F76FF" w:rsidP="008F76FF">
      <w:pPr>
        <w:spacing w:after="0" w:line="240" w:lineRule="auto"/>
        <w:ind w:left="720"/>
        <w:rPr>
          <w:b/>
          <w:bCs/>
        </w:rPr>
      </w:pPr>
    </w:p>
    <w:p w14:paraId="5E267421" w14:textId="77777777" w:rsidR="008F76FF" w:rsidRDefault="008F76FF" w:rsidP="008F76FF">
      <w:pPr>
        <w:spacing w:after="0" w:line="240" w:lineRule="auto"/>
        <w:ind w:left="720"/>
      </w:pPr>
    </w:p>
    <w:p w14:paraId="7A90726B" w14:textId="6F3C434C" w:rsidR="006A65A0" w:rsidRDefault="006A65A0" w:rsidP="008F76FF">
      <w:pPr>
        <w:pStyle w:val="ListParagraph"/>
        <w:numPr>
          <w:ilvl w:val="0"/>
          <w:numId w:val="9"/>
        </w:numPr>
        <w:spacing w:after="0" w:line="240" w:lineRule="auto"/>
        <w:rPr>
          <w:b/>
          <w:bCs/>
        </w:rPr>
      </w:pPr>
      <w:r w:rsidRPr="00BF649A">
        <w:rPr>
          <w:b/>
          <w:bCs/>
        </w:rPr>
        <w:lastRenderedPageBreak/>
        <w:t>Future vision</w:t>
      </w:r>
    </w:p>
    <w:p w14:paraId="76EE969F" w14:textId="77777777" w:rsidR="008F76FF" w:rsidRPr="00BF649A" w:rsidRDefault="008F76FF" w:rsidP="008F76FF">
      <w:pPr>
        <w:pStyle w:val="ListParagraph"/>
        <w:spacing w:after="0" w:line="240" w:lineRule="auto"/>
        <w:ind w:left="360"/>
        <w:rPr>
          <w:b/>
          <w:bCs/>
        </w:rPr>
      </w:pPr>
    </w:p>
    <w:p w14:paraId="027A4E86" w14:textId="77777777" w:rsidR="00316265" w:rsidRPr="00316265" w:rsidRDefault="00316265" w:rsidP="008F76FF">
      <w:pPr>
        <w:numPr>
          <w:ilvl w:val="0"/>
          <w:numId w:val="19"/>
        </w:numPr>
        <w:spacing w:after="0" w:line="240" w:lineRule="auto"/>
      </w:pPr>
      <w:r w:rsidRPr="00316265">
        <w:rPr>
          <w:b/>
          <w:bCs/>
        </w:rPr>
        <w:t>Community vision:</w:t>
      </w:r>
      <w:r w:rsidRPr="00316265">
        <w:t xml:space="preserve"> Open responses (Q58) repeatedly mention Wootton as </w:t>
      </w:r>
      <w:r w:rsidRPr="00316265">
        <w:rPr>
          <w:i/>
          <w:iCs/>
        </w:rPr>
        <w:t>friendly</w:t>
      </w:r>
      <w:r w:rsidRPr="00316265">
        <w:t xml:space="preserve">, </w:t>
      </w:r>
      <w:r w:rsidRPr="00316265">
        <w:rPr>
          <w:i/>
          <w:iCs/>
        </w:rPr>
        <w:t>safe</w:t>
      </w:r>
      <w:r w:rsidRPr="00316265">
        <w:t xml:space="preserve">, and a </w:t>
      </w:r>
      <w:r w:rsidRPr="00316265">
        <w:rPr>
          <w:i/>
          <w:iCs/>
        </w:rPr>
        <w:t>haven for wildlife</w:t>
      </w:r>
      <w:r w:rsidRPr="00316265">
        <w:t>.</w:t>
      </w:r>
    </w:p>
    <w:p w14:paraId="2B789440" w14:textId="77777777" w:rsidR="00BF649A" w:rsidRPr="00BF649A" w:rsidRDefault="00BF649A" w:rsidP="008F76FF">
      <w:pPr>
        <w:numPr>
          <w:ilvl w:val="0"/>
          <w:numId w:val="19"/>
        </w:numPr>
        <w:spacing w:after="0" w:line="240" w:lineRule="auto"/>
      </w:pPr>
      <w:r w:rsidRPr="00BF649A">
        <w:t xml:space="preserve">Those favouring </w:t>
      </w:r>
      <w:r w:rsidRPr="00BF649A">
        <w:rPr>
          <w:b/>
          <w:bCs/>
        </w:rPr>
        <w:t>no or minimal development</w:t>
      </w:r>
      <w:r w:rsidRPr="00BF649A">
        <w:t xml:space="preserve"> emphasise “haven of wildlife” and “safe and quiet.”</w:t>
      </w:r>
    </w:p>
    <w:p w14:paraId="4BDC1372" w14:textId="77777777" w:rsidR="00BF649A" w:rsidRDefault="00BF649A" w:rsidP="008F76FF">
      <w:pPr>
        <w:numPr>
          <w:ilvl w:val="0"/>
          <w:numId w:val="19"/>
        </w:numPr>
        <w:spacing w:after="0" w:line="240" w:lineRule="auto"/>
      </w:pPr>
      <w:r w:rsidRPr="00BF649A">
        <w:t xml:space="preserve">Those open to </w:t>
      </w:r>
      <w:r w:rsidRPr="00BF649A">
        <w:rPr>
          <w:b/>
          <w:bCs/>
        </w:rPr>
        <w:t>limited new housing</w:t>
      </w:r>
      <w:r w:rsidRPr="00BF649A">
        <w:t xml:space="preserve"> add “affordable” and “sustainable” to their vision descriptors.</w:t>
      </w:r>
    </w:p>
    <w:p w14:paraId="603833FE" w14:textId="77777777" w:rsidR="008F76FF" w:rsidRPr="00BF649A" w:rsidRDefault="008F76FF" w:rsidP="008F76FF">
      <w:pPr>
        <w:spacing w:after="0" w:line="240" w:lineRule="auto"/>
        <w:ind w:left="720"/>
      </w:pPr>
    </w:p>
    <w:p w14:paraId="23D6D2BF" w14:textId="41BEFDE2" w:rsidR="006E249F" w:rsidRPr="008F76FF" w:rsidRDefault="008F76FF" w:rsidP="008F76FF">
      <w:pPr>
        <w:pStyle w:val="ListParagraph"/>
        <w:numPr>
          <w:ilvl w:val="0"/>
          <w:numId w:val="1"/>
        </w:numPr>
        <w:rPr>
          <w:b/>
          <w:bCs/>
        </w:rPr>
      </w:pPr>
      <w:r w:rsidRPr="008F76FF">
        <w:rPr>
          <w:b/>
          <w:bCs/>
        </w:rPr>
        <w:t>ChatGPT 150-word summary</w:t>
      </w:r>
      <w:r w:rsidR="00D778F0">
        <w:rPr>
          <w:b/>
          <w:bCs/>
        </w:rPr>
        <w:t xml:space="preserve"> of findings</w:t>
      </w:r>
    </w:p>
    <w:p w14:paraId="2B30D758" w14:textId="77777777" w:rsidR="008F76FF" w:rsidRDefault="008F76FF" w:rsidP="008F76FF">
      <w:pPr>
        <w:jc w:val="both"/>
      </w:pPr>
      <w:r w:rsidRPr="008F76FF">
        <w:t xml:space="preserve">The Wootton Parish Survey shows strong consensus for limited, locally beneficial development and high value placed on rural character. Most respondents are long-term owner-occupiers aged 46–80, favouring small-scale housing such as individual or 3–5 home developments, and opposing large estates. Affordable housing gains cautious support when reserved for </w:t>
      </w:r>
      <w:proofErr w:type="gramStart"/>
      <w:r w:rsidRPr="008F76FF">
        <w:t>local residents</w:t>
      </w:r>
      <w:proofErr w:type="gramEnd"/>
      <w:r w:rsidRPr="008F76FF">
        <w:t>. Older participants prioritise conservation, tranquillity, and traditional communication through Outreach, while younger and newer residents are more open to affordable housing, sustainability measures, and digital engagement. Families highlight transport and local facilities, whereas retired residents focus on preserving village identity. Correlation analysis confirms that age, tenure, and years in residence are strongly linked, forming a stable preservationist core that shapes overall sentiment. Despite demographic differences, the community agrees that Wootton should remain friendly, safe, and environmentally rich, with modest, well-designed growth supporting future generations without eroding its distinctive rural character.</w:t>
      </w:r>
    </w:p>
    <w:p w14:paraId="4FD8B2AD" w14:textId="77777777" w:rsidR="00C47EC9" w:rsidRDefault="00C47EC9" w:rsidP="008F76FF">
      <w:pPr>
        <w:jc w:val="both"/>
      </w:pPr>
    </w:p>
    <w:p w14:paraId="37901AAF" w14:textId="77777777" w:rsidR="00C47EC9" w:rsidRDefault="00C47EC9" w:rsidP="008F76FF">
      <w:pPr>
        <w:jc w:val="both"/>
      </w:pPr>
    </w:p>
    <w:p w14:paraId="2C7A3C12" w14:textId="1C4CCE8B" w:rsidR="00C47EC9" w:rsidRDefault="00C47EC9" w:rsidP="008F76FF">
      <w:pPr>
        <w:jc w:val="both"/>
      </w:pPr>
      <w:r>
        <w:t xml:space="preserve">JR: </w:t>
      </w:r>
      <w:fldSimple w:instr=" FILENAME  \* MERGEFORMAT ">
        <w:r>
          <w:rPr>
            <w:noProof/>
          </w:rPr>
          <w:t>251031 Wootton Neighbourhood Plan Parish Survey.docx</w:t>
        </w:r>
      </w:fldSimple>
    </w:p>
    <w:p w14:paraId="20F1213E" w14:textId="05B26BB4" w:rsidR="00890ED4" w:rsidRPr="008F76FF" w:rsidRDefault="00890ED4" w:rsidP="008F76FF">
      <w:pPr>
        <w:jc w:val="both"/>
      </w:pPr>
      <w:r>
        <w:t>31</w:t>
      </w:r>
      <w:r w:rsidRPr="00890ED4">
        <w:rPr>
          <w:vertAlign w:val="superscript"/>
        </w:rPr>
        <w:t>st</w:t>
      </w:r>
      <w:r>
        <w:t xml:space="preserve"> October 2025</w:t>
      </w:r>
    </w:p>
    <w:p w14:paraId="6B37135D" w14:textId="77777777" w:rsidR="008F76FF" w:rsidRPr="006E249F" w:rsidRDefault="008F76FF" w:rsidP="008F76FF"/>
    <w:p w14:paraId="18460C0D" w14:textId="77777777" w:rsidR="006E249F" w:rsidRDefault="006E249F" w:rsidP="006E249F"/>
    <w:p w14:paraId="79A6BADF" w14:textId="77777777" w:rsidR="000C2BD0" w:rsidRDefault="000C2BD0" w:rsidP="000C2BD0"/>
    <w:p w14:paraId="6A29CCDC" w14:textId="77777777" w:rsidR="002476DC" w:rsidRDefault="002476DC" w:rsidP="002476DC"/>
    <w:p w14:paraId="5071D7C9" w14:textId="77777777" w:rsidR="002476DC" w:rsidRDefault="002476DC" w:rsidP="002476DC"/>
    <w:p w14:paraId="3C5A8DD1" w14:textId="77777777" w:rsidR="002476DC" w:rsidRDefault="002476DC" w:rsidP="002476DC"/>
    <w:p w14:paraId="72BAFB3B" w14:textId="77777777" w:rsidR="002476DC" w:rsidRDefault="002476DC"/>
    <w:sectPr w:rsidR="00247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EFB"/>
    <w:multiLevelType w:val="multilevel"/>
    <w:tmpl w:val="CB4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078EC"/>
    <w:multiLevelType w:val="hybridMultilevel"/>
    <w:tmpl w:val="E06C1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8D7CA0"/>
    <w:multiLevelType w:val="multilevel"/>
    <w:tmpl w:val="9098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1443E"/>
    <w:multiLevelType w:val="multilevel"/>
    <w:tmpl w:val="A7C8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96FE8"/>
    <w:multiLevelType w:val="multilevel"/>
    <w:tmpl w:val="C9DA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C080B"/>
    <w:multiLevelType w:val="multilevel"/>
    <w:tmpl w:val="88E4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52EDB"/>
    <w:multiLevelType w:val="multilevel"/>
    <w:tmpl w:val="7BD40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D75DB"/>
    <w:multiLevelType w:val="multilevel"/>
    <w:tmpl w:val="324E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610D1"/>
    <w:multiLevelType w:val="hybridMultilevel"/>
    <w:tmpl w:val="5D8069AA"/>
    <w:lvl w:ilvl="0" w:tplc="2670DA1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38533C"/>
    <w:multiLevelType w:val="multilevel"/>
    <w:tmpl w:val="E238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C55F7"/>
    <w:multiLevelType w:val="multilevel"/>
    <w:tmpl w:val="5A64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06314"/>
    <w:multiLevelType w:val="multilevel"/>
    <w:tmpl w:val="7408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D7E9D"/>
    <w:multiLevelType w:val="multilevel"/>
    <w:tmpl w:val="4552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17C9A"/>
    <w:multiLevelType w:val="multilevel"/>
    <w:tmpl w:val="0D1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A0A4E"/>
    <w:multiLevelType w:val="multilevel"/>
    <w:tmpl w:val="00B2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21912"/>
    <w:multiLevelType w:val="multilevel"/>
    <w:tmpl w:val="111A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87EFA"/>
    <w:multiLevelType w:val="multilevel"/>
    <w:tmpl w:val="29E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21266"/>
    <w:multiLevelType w:val="multilevel"/>
    <w:tmpl w:val="32B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3D1ABA"/>
    <w:multiLevelType w:val="multilevel"/>
    <w:tmpl w:val="262C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F3596"/>
    <w:multiLevelType w:val="multilevel"/>
    <w:tmpl w:val="D3F4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101506">
    <w:abstractNumId w:val="1"/>
  </w:num>
  <w:num w:numId="2" w16cid:durableId="1358582119">
    <w:abstractNumId w:val="3"/>
  </w:num>
  <w:num w:numId="3" w16cid:durableId="1259947019">
    <w:abstractNumId w:val="5"/>
  </w:num>
  <w:num w:numId="4" w16cid:durableId="778986703">
    <w:abstractNumId w:val="14"/>
  </w:num>
  <w:num w:numId="5" w16cid:durableId="1479028916">
    <w:abstractNumId w:val="6"/>
  </w:num>
  <w:num w:numId="6" w16cid:durableId="1858233979">
    <w:abstractNumId w:val="2"/>
  </w:num>
  <w:num w:numId="7" w16cid:durableId="945040248">
    <w:abstractNumId w:val="9"/>
  </w:num>
  <w:num w:numId="8" w16cid:durableId="1934242129">
    <w:abstractNumId w:val="11"/>
  </w:num>
  <w:num w:numId="9" w16cid:durableId="1773475561">
    <w:abstractNumId w:val="8"/>
  </w:num>
  <w:num w:numId="10" w16cid:durableId="1783725395">
    <w:abstractNumId w:val="4"/>
  </w:num>
  <w:num w:numId="11" w16cid:durableId="511142005">
    <w:abstractNumId w:val="7"/>
  </w:num>
  <w:num w:numId="12" w16cid:durableId="1206989388">
    <w:abstractNumId w:val="0"/>
  </w:num>
  <w:num w:numId="13" w16cid:durableId="132525047">
    <w:abstractNumId w:val="19"/>
  </w:num>
  <w:num w:numId="14" w16cid:durableId="1849130751">
    <w:abstractNumId w:val="18"/>
  </w:num>
  <w:num w:numId="15" w16cid:durableId="1254121734">
    <w:abstractNumId w:val="10"/>
  </w:num>
  <w:num w:numId="16" w16cid:durableId="1598100306">
    <w:abstractNumId w:val="15"/>
  </w:num>
  <w:num w:numId="17" w16cid:durableId="1267882772">
    <w:abstractNumId w:val="13"/>
  </w:num>
  <w:num w:numId="18" w16cid:durableId="153034881">
    <w:abstractNumId w:val="12"/>
  </w:num>
  <w:num w:numId="19" w16cid:durableId="231428239">
    <w:abstractNumId w:val="17"/>
  </w:num>
  <w:num w:numId="20" w16cid:durableId="1875265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DC"/>
    <w:rsid w:val="0006220B"/>
    <w:rsid w:val="000C2BD0"/>
    <w:rsid w:val="00173251"/>
    <w:rsid w:val="001D2DDD"/>
    <w:rsid w:val="001D5570"/>
    <w:rsid w:val="001E7D3A"/>
    <w:rsid w:val="002476DC"/>
    <w:rsid w:val="0029357F"/>
    <w:rsid w:val="00316265"/>
    <w:rsid w:val="00353D3F"/>
    <w:rsid w:val="00466432"/>
    <w:rsid w:val="004B4234"/>
    <w:rsid w:val="004D63E7"/>
    <w:rsid w:val="0056278B"/>
    <w:rsid w:val="005B59C4"/>
    <w:rsid w:val="00631427"/>
    <w:rsid w:val="0063244A"/>
    <w:rsid w:val="00676DFE"/>
    <w:rsid w:val="006A65A0"/>
    <w:rsid w:val="006C38E3"/>
    <w:rsid w:val="006E249F"/>
    <w:rsid w:val="00700CF6"/>
    <w:rsid w:val="007111F7"/>
    <w:rsid w:val="0071412B"/>
    <w:rsid w:val="00795F0A"/>
    <w:rsid w:val="007D3150"/>
    <w:rsid w:val="0085739D"/>
    <w:rsid w:val="00890ED4"/>
    <w:rsid w:val="008F76FF"/>
    <w:rsid w:val="0091161F"/>
    <w:rsid w:val="009254A3"/>
    <w:rsid w:val="00A30880"/>
    <w:rsid w:val="00AB7A3D"/>
    <w:rsid w:val="00B22B86"/>
    <w:rsid w:val="00B80C6F"/>
    <w:rsid w:val="00B9124F"/>
    <w:rsid w:val="00BA05CF"/>
    <w:rsid w:val="00BF649A"/>
    <w:rsid w:val="00C003A6"/>
    <w:rsid w:val="00C41568"/>
    <w:rsid w:val="00C47EC9"/>
    <w:rsid w:val="00C75525"/>
    <w:rsid w:val="00C85195"/>
    <w:rsid w:val="00CD06A3"/>
    <w:rsid w:val="00CD50E2"/>
    <w:rsid w:val="00D7736B"/>
    <w:rsid w:val="00D778F0"/>
    <w:rsid w:val="00DA67C5"/>
    <w:rsid w:val="00DF6D0A"/>
    <w:rsid w:val="00E035CD"/>
    <w:rsid w:val="00E75F16"/>
    <w:rsid w:val="00E82DC0"/>
    <w:rsid w:val="00E93750"/>
    <w:rsid w:val="00F73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F98E"/>
  <w15:chartTrackingRefBased/>
  <w15:docId w15:val="{2ABDE84A-24B4-6A41-AD4A-48EC837D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6DC"/>
    <w:rPr>
      <w:rFonts w:eastAsiaTheme="majorEastAsia" w:cstheme="majorBidi"/>
      <w:color w:val="272727" w:themeColor="text1" w:themeTint="D8"/>
    </w:rPr>
  </w:style>
  <w:style w:type="paragraph" w:styleId="Title">
    <w:name w:val="Title"/>
    <w:basedOn w:val="Normal"/>
    <w:next w:val="Normal"/>
    <w:link w:val="TitleChar"/>
    <w:uiPriority w:val="10"/>
    <w:qFormat/>
    <w:rsid w:val="00247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6DC"/>
    <w:pPr>
      <w:spacing w:before="160"/>
      <w:jc w:val="center"/>
    </w:pPr>
    <w:rPr>
      <w:i/>
      <w:iCs/>
      <w:color w:val="404040" w:themeColor="text1" w:themeTint="BF"/>
    </w:rPr>
  </w:style>
  <w:style w:type="character" w:customStyle="1" w:styleId="QuoteChar">
    <w:name w:val="Quote Char"/>
    <w:basedOn w:val="DefaultParagraphFont"/>
    <w:link w:val="Quote"/>
    <w:uiPriority w:val="29"/>
    <w:rsid w:val="002476DC"/>
    <w:rPr>
      <w:i/>
      <w:iCs/>
      <w:color w:val="404040" w:themeColor="text1" w:themeTint="BF"/>
    </w:rPr>
  </w:style>
  <w:style w:type="paragraph" w:styleId="ListParagraph">
    <w:name w:val="List Paragraph"/>
    <w:basedOn w:val="Normal"/>
    <w:uiPriority w:val="34"/>
    <w:qFormat/>
    <w:rsid w:val="002476DC"/>
    <w:pPr>
      <w:ind w:left="720"/>
      <w:contextualSpacing/>
    </w:pPr>
  </w:style>
  <w:style w:type="character" w:styleId="IntenseEmphasis">
    <w:name w:val="Intense Emphasis"/>
    <w:basedOn w:val="DefaultParagraphFont"/>
    <w:uiPriority w:val="21"/>
    <w:qFormat/>
    <w:rsid w:val="002476DC"/>
    <w:rPr>
      <w:i/>
      <w:iCs/>
      <w:color w:val="0F4761" w:themeColor="accent1" w:themeShade="BF"/>
    </w:rPr>
  </w:style>
  <w:style w:type="paragraph" w:styleId="IntenseQuote">
    <w:name w:val="Intense Quote"/>
    <w:basedOn w:val="Normal"/>
    <w:next w:val="Normal"/>
    <w:link w:val="IntenseQuoteChar"/>
    <w:uiPriority w:val="30"/>
    <w:qFormat/>
    <w:rsid w:val="00247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6DC"/>
    <w:rPr>
      <w:i/>
      <w:iCs/>
      <w:color w:val="0F4761" w:themeColor="accent1" w:themeShade="BF"/>
    </w:rPr>
  </w:style>
  <w:style w:type="character" w:styleId="IntenseReference">
    <w:name w:val="Intense Reference"/>
    <w:basedOn w:val="DefaultParagraphFont"/>
    <w:uiPriority w:val="32"/>
    <w:qFormat/>
    <w:rsid w:val="002476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Reynolds</dc:creator>
  <cp:keywords/>
  <dc:description/>
  <cp:lastModifiedBy>Rachel Faulkner</cp:lastModifiedBy>
  <cp:revision>2</cp:revision>
  <dcterms:created xsi:type="dcterms:W3CDTF">2026-03-28T10:49:00Z</dcterms:created>
  <dcterms:modified xsi:type="dcterms:W3CDTF">2026-03-28T10:49:00Z</dcterms:modified>
</cp:coreProperties>
</file>